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8.png" ContentType="image/png"/>
  <Override PartName="/word/media/rId43.png" ContentType="image/png"/>
  <Override PartName="/word/media/rId52.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2025-11-13</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understanding community responses to environmental changes across deep time events as a means to help understand current and future biodiversity changes</w:t>
      </w:r>
      <w:r>
        <w:t xml:space="preserve"> </w:t>
      </w:r>
      <w:r>
        <w:t xml:space="preserve">[1,2]</w:t>
      </w:r>
      <w:r>
        <w:t xml:space="preserve">. Species interactions and the resulting networks have gained popularity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w:t>
      </w:r>
      <w:r>
        <w:rPr>
          <w:i/>
          <w:iCs/>
        </w:rPr>
        <w:t xml:space="preserve">e.g.,</w:t>
      </w:r>
      <w:r>
        <w:t xml:space="preserve"> </w:t>
      </w:r>
      <w:r>
        <w:t xml:space="preserve">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where, in the absence of being able to observe interactions, we are dependent on the fossil record (and the inherent limitation it imposes) to infer interactions.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paleo food webs</w:t>
      </w:r>
      <w:r>
        <w:t xml:space="preserve"> </w:t>
      </w:r>
      <w:r>
        <w:t xml:space="preserve">[</w:t>
      </w:r>
      <w:r>
        <w:rPr>
          <w:i/>
          <w:iCs/>
        </w:rPr>
        <w:t xml:space="preserve">e.g.,</w:t>
      </w:r>
      <w:r>
        <w:t xml:space="preserve"> </w:t>
      </w:r>
      <w:r>
        <w:t xml:space="preserve">12,13,14]</w:t>
      </w:r>
      <w:r>
        <w:t xml:space="preserve">, it should be noted that these models only occupy a subset of the broader family of approaches that are used to predict networks, as they typically only focus on assessing the feasibility of interactions between species. Being able to construct only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aim to provide an overview of the different models that can be used to construct food webs using paleo data. Specifically we focus on identifying a suite of models that are appropriate for use with paleo data that can feasibly be constructed within the limitations that are imposed by fossil data while still spanning the larger network space. Additionally we use the data from</w:t>
      </w:r>
      <w:r>
        <w:t xml:space="preserve"> </w:t>
      </w:r>
      <w:r>
        <w:t xml:space="preserve">[4]</w:t>
      </w:r>
      <w:r>
        <w:t xml:space="preserve"> </w:t>
      </w:r>
      <w:r>
        <w:t xml:space="preserve">as a case study to understand how different models recover different networks, both in terms of structure as well as pairwise interactions and establish if there are consequences for using networks that are constructed using different models in terms of making inferences about the behaviour of the system by looking at how the model type influences what we infer to be the dominant driver of extinctions across a mass extinction event.</w:t>
      </w:r>
    </w:p>
    <w:bookmarkStart w:id="20" w:name="constructing-paleo-webs"/>
    <w:p>
      <w:pPr>
        <w:pStyle w:val="Heading1"/>
      </w:pPr>
      <w:r>
        <w:t xml:space="preserve">1. Constructing paleo webs</w:t>
      </w:r>
    </w:p>
    <w:bookmarkEnd w:id="20"/>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X62264afe1fbc73abe88026533d9b22a09e7dbcd"/>
    <w:p>
      <w:pPr>
        <w:pStyle w:val="Heading2"/>
      </w:pPr>
      <w:r>
        <w:t xml:space="preserve">2.1 Understanding the approaches to network construction</w:t>
      </w:r>
    </w:p>
    <w:p>
      <w:pPr>
        <w:pStyle w:val="FirstParagraph"/>
      </w:pPr>
      <w:r>
        <w:t xml:space="preserve">Broadly we can think about network construction as being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 The former of which will construct</w:t>
      </w:r>
      <w:r>
        <w:t xml:space="preserve"> </w:t>
      </w:r>
      <w:r>
        <w:t xml:space="preserve">‘metawebs’</w:t>
      </w:r>
      <w:r>
        <w:t xml:space="preserve"> </w:t>
      </w:r>
      <w:r>
        <w:t xml:space="preserve">and the latter</w:t>
      </w:r>
      <w:r>
        <w:t xml:space="preserve"> </w:t>
      </w:r>
      <w:r>
        <w:t xml:space="preserve">‘realised networks’</w:t>
      </w:r>
      <w:r>
        <w:t xml:space="preserve"> </w:t>
      </w:r>
      <w:r>
        <w:t xml:space="preserve">[Strydom et al in prep]. Models that have specifically been developed in the paleo space tend to be mechanistic in nature in that they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Thus paleo models typically only construct metawebs, and there is the need for the intentional adoption of theoretical models if we want to realise the full potential of questions and information that we can glean from the fossil record. However, there is an argument that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meaning that theoretical models that have been developed and tested on contemporary food webs should still hold for paleo communities.</w:t>
      </w:r>
    </w:p>
    <w:tbl>
      <w:tblPr>
        <w:tblStyle w:val="Table"/>
        <w:tblW w:type="pct" w:w="5000"/>
        <w:tblLayout w:type="fixed"/>
        <w:tblLook w:firstRow="0" w:lastRow="0" w:firstColumn="0" w:lastColumn="0" w:noHBand="0" w:noVBand="0" w:val="0000"/>
      </w:tblPr>
      <w:tblGrid>
        <w:gridCol w:w="7920"/>
      </w:tblGrid>
      <w:tr>
        <w:tc>
          <w:tcPr/>
          <w:bookmarkStart w:id="24" w:name="fig-concept"/>
          <w:p>
            <w:pPr>
              <w:pStyle w:val="Compact"/>
              <w:jc w:val="center"/>
            </w:pPr>
            <w:r>
              <w:drawing>
                <wp:inline>
                  <wp:extent cx="5334000" cy="2995101"/>
                  <wp:effectExtent b="0" l="0" r="0" t="0"/>
                  <wp:docPr descr="" title="" id="22" name="Picture"/>
                  <a:graphic>
                    <a:graphicData uri="http://schemas.openxmlformats.org/drawingml/2006/picture">
                      <pic:pic>
                        <pic:nvPicPr>
                          <pic:cNvPr descr="figures/model_fams.png" id="23" name="Picture"/>
                          <pic:cNvPicPr>
                            <a:picLocks noChangeArrowheads="1" noChangeAspect="1"/>
                          </pic:cNvPicPr>
                        </pic:nvPicPr>
                        <pic:blipFill>
                          <a:blip r:embed="rId21"/>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4"/>
        </w:tc>
      </w:tr>
    </w:tbl>
    <w:p>
      <w:pPr>
        <w:pStyle w:val="BodyText"/>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fall within the limitations set by the fossil record.</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[17]</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[19]</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[21]</w:t>
                  </w:r>
                </w:p>
              </w:tc>
            </w:tr>
          </w:tbl>
          <w:bookmarkEnd w:id="25"/>
          <w:p/>
        </w:tc>
      </w:tr>
    </w:tbl>
    <w:bookmarkEnd w:id="26"/>
    <w:bookmarkEnd w:id="27"/>
    <w:bookmarkStart w:id="51"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[22]</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 simplified so as to remove any disconnected species. In total 2 400 networks were constructed. When a quantitative measure of body size is needed (ADBM, body size ratio, and l-matrix) we drew a body mass for each species from a uniform distribution, with ranges being defined by the different size classes</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w:t>
      </w:r>
      <w:r>
        <w:t xml:space="preserve"> </w:t>
      </w:r>
      <w:r>
        <w:rPr>
          <w:i/>
          <w:iCs/>
        </w:rPr>
        <w:t xml:space="preserve">i.e.,</w:t>
      </w:r>
      <w:r>
        <w:t xml:space="preserve"> </w:t>
      </w:r>
      <w:r>
        <w:t xml:space="preserve">an ADBM and l-matrix network from the same replicate have the same bodysizes. For both the random and niche model the desired connectance was randomly selected between the range 0.07 - 0.15 for each replicate but kept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37" w:name="X5f293602e0a41505444ff1a5239f00ce84a920d"/>
    <w:p>
      <w:pPr>
        <w:pStyle w:val="Heading2"/>
      </w:pPr>
      <w:r>
        <w:t xml:space="preserve">3.2 Models capture different network structure but in unexpected ways</w:t>
      </w:r>
    </w:p>
    <w:p>
      <w:pPr>
        <w:pStyle w:val="FirstParagraph"/>
      </w:pPr>
      <w:r>
        <w:t xml:space="preserve">Broadly when we talk about quantifying the structure of a network we are interesting in capturing some aspect of how the links are distributed between nodes, or alternatively about properties of the nodes. Structure is useful as it is gives information as to how the interactions between species are distributed within the community, informing us on</w:t>
      </w:r>
      <w:r>
        <w:t xml:space="preserve"> </w:t>
      </w:r>
      <w:r>
        <w:rPr>
          <w:i/>
          <w:iCs/>
        </w:rPr>
        <w:t xml:space="preserve">e.g.,</w:t>
      </w:r>
      <w:r>
        <w:t xml:space="preserve"> </w:t>
      </w:r>
      <w:r>
        <w:t xml:space="preserve">energy flows and fluxes [REF], propagation of stress [REF], and something about trophic levels [REF]. We are also able to glean information on interaction strategies between smaller interacting units in the bigger community in the form of motifs</w:t>
      </w:r>
      <w:r>
        <w:t xml:space="preserve"> </w:t>
      </w:r>
      <w:r>
        <w:t xml:space="preserve">[23,24]</w:t>
      </w:r>
      <w:r>
        <w:t xml:space="preserve">. Motifs allow us to identify</w:t>
      </w:r>
      <w:r>
        <w:t xml:space="preserve"> </w:t>
      </w:r>
      <w:r>
        <w:rPr>
          <w:i/>
          <w:iCs/>
        </w:rPr>
        <w:t xml:space="preserve">e.g.,</w:t>
      </w:r>
      <w:r>
        <w:t xml:space="preserve"> </w:t>
      </w:r>
      <w:r>
        <w:t xml:space="preserve">the prevalence of competition, as well as smaller chains within the network. Node-level properties look at the the number of links coming in to (prey) or out of (predators) a node and are informative of diet specialisation.</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[26]</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[26]</w:t>
      </w:r>
      <w:r>
        <w:t xml:space="preserve"> </w:t>
      </w:r>
      <w:r>
        <w:t xml:space="preserve">we have selected those outlined in</w:t>
      </w:r>
      <w:r>
        <w:t xml:space="preserve"> </w:t>
      </w:r>
      <w:hyperlink w:anchor="tbl-properties">
        <w:r>
          <w:rPr>
            <w:rStyle w:val="Hyperlink"/>
          </w:rPr>
          <w:t xml:space="preserve">Table 2</w:t>
        </w:r>
      </w:hyperlink>
      <w:r>
        <w:t xml:space="preserve"> </w:t>
      </w:r>
      <w:r>
        <w:t xml:space="preserve">as they span different scales within thr network and have been shown to be informative of different ecological processes.</w:t>
      </w:r>
    </w:p>
    <w:p>
      <w:pPr>
        <w:pStyle w:val="BodyText"/>
      </w:pPr>
      <w:r>
        <w:t xml:space="preserve">Here we used a Multivariate Analysis Of Variance (MANOVA) to assess the differences between networks generated by different models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additionally we used a Linear Discriminant Analysis (LDA) to determine if different models produced networks with differing structure. In order to do the MANOVA and LDA we had to create within model variation for the different networks, with the exception of the PFIM model all models have some inherent variation. In order to generate variation within the PFIM metawebs we applied a</w:t>
      </w:r>
      <w:r>
        <w:t xml:space="preserve"> </w:t>
      </w:r>
      <w:r>
        <w:rPr>
          <w:i/>
          <w:iCs/>
        </w:rPr>
        <w:t xml:space="preserve">minimal</w:t>
      </w:r>
      <w:r>
        <w:t xml:space="preserve"> </w:t>
      </w:r>
      <w:r>
        <w:t xml:space="preserve">degree of downsampling following the protocol described in</w:t>
      </w:r>
      <w:r>
        <w:t xml:space="preserve"> </w:t>
      </w:r>
      <w:r>
        <w:t xml:space="preserve">[28]</w:t>
      </w:r>
      <w:r>
        <w:t xml:space="preserve">. This downsampling approach uses a power law distribution to essentially</w:t>
      </w:r>
      <w:r>
        <w:t xml:space="preserve"> </w:t>
      </w:r>
      <w:r>
        <w:t xml:space="preserve">‘prune’</w:t>
      </w:r>
      <w:r>
        <w:t xml:space="preserve"> </w:t>
      </w:r>
      <w:r>
        <w:t xml:space="preserve">links from the most generalist species (See SUPP MATT for a more detailed overview).</w:t>
      </w:r>
    </w:p>
    <w:p>
      <w:pPr>
        <w:pStyle w:val="BodyText"/>
      </w:pP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6" w:name="fig-structure"/>
          <w:p>
            <w:pPr>
              <w:pStyle w:val="Compact"/>
              <w:jc w:val="center"/>
            </w:pPr>
            <w:r>
              <w:drawing>
                <wp:inline>
                  <wp:extent cx="5334000" cy="4267199"/>
                  <wp:effectExtent b="0" l="0" r="0" t="0"/>
                  <wp:docPr descr="" title="" id="34" name="Picture"/>
                  <a:graphic>
                    <a:graphicData uri="http://schemas.openxmlformats.org/drawingml/2006/picture">
                      <pic:pic>
                        <pic:nvPicPr>
                          <pic:cNvPr descr="figures/MANOVA_lda.png" id="35" name="Picture"/>
                          <pic:cNvPicPr>
                            <a:picLocks noChangeArrowheads="1" noChangeAspect="1"/>
                          </pic:cNvPicPr>
                        </pic:nvPicPr>
                        <pic:blipFill>
                          <a:blip r:embed="rId33"/>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Linear Discriminant Analysis using thirteen different metrics of network structure. The colours represent the different models. The black points represent the predicted metaweb co-ordinates for the four different time periods.</w:t>
            </w:r>
          </w:p>
          <w:bookmarkEnd w:id="36"/>
        </w:tc>
      </w:tr>
    </w:tbl>
    <w:p>
      <w:pPr>
        <w:pStyle w:val="BlockText"/>
      </w:pPr>
      <w:r>
        <w:t xml:space="preserve">should I report some more</w:t>
      </w:r>
      <w:r>
        <w:t xml:space="preserve"> </w:t>
      </w:r>
      <w:r>
        <w:t xml:space="preserve">‘quantitative results’</w:t>
      </w:r>
      <w:r>
        <w:t xml:space="preserve"> </w:t>
      </w:r>
      <w:r>
        <w:t xml:space="preserve">i.e. a summary table…</w:t>
      </w:r>
    </w:p>
    <w:p>
      <w:pPr>
        <w:pStyle w:val="FirstParagraph"/>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body size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w:t>
      </w:r>
      <w:r>
        <w:t xml:space="preserve"> </w:t>
      </w:r>
      <w:r>
        <w:t xml:space="preserve">‘ecologically illogical’</w:t>
      </w:r>
      <w:r>
        <w:t xml:space="preserve"> </w:t>
      </w:r>
      <w:r>
        <w:t xml:space="preserve">networks. What is perhaps the most interesting result is that the PFIM model constructs networks that are very similar to those that are rooted in niche-based processes despite the model being more mechanistic in nature. (Not sure how to articulate but this is cool because there is</w:t>
      </w:r>
      <w:r>
        <w:t xml:space="preserve"> </w:t>
      </w:r>
      <w:r>
        <w:rPr>
          <w:i/>
          <w:iCs/>
        </w:rPr>
        <w:t xml:space="preserve">something</w:t>
      </w:r>
      <w:r>
        <w:t xml:space="preserve"> </w:t>
      </w:r>
      <w:r>
        <w:t xml:space="preserve">in network structure constraints that is straddling the trait-niche space of ecology)</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models from different families are able to recover similar structures is reassuring as it suggests that it might be possible to substitute one model for another if the required data are not available. Although it is still important that an effort is made to match the</w:t>
      </w:r>
      <w:r>
        <w:t xml:space="preserve"> </w:t>
      </w:r>
      <w:r>
        <w:t xml:space="preserve">‘best’</w:t>
      </w:r>
      <w:r>
        <w:t xml:space="preserve"> </w:t>
      </w:r>
      <w:r>
        <w:t xml:space="preserve">model/network to the question being asked.</w:t>
      </w:r>
    </w:p>
    <w:p>
      <w:pPr>
        <w:pStyle w:val="BlockText"/>
      </w:pPr>
      <w:r>
        <w:t xml:space="preserve">It would be remiss to not think about the fact that niche models are supposed to work with trophic species not taxonomic species - I wonder if we should run the niche (and possibly random) models with trophic species as the starting richness and not the taxo richness…</w:t>
      </w:r>
    </w:p>
    <w:bookmarkEnd w:id="37"/>
    <w:bookmarkStart w:id="42"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 the interaction turnover both within and between the different models</w:t>
      </w:r>
      <w:r>
        <w:t xml:space="preserve"> </w:t>
      </w:r>
      <w:r>
        <w:t xml:space="preserve">[29]</w:t>
      </w:r>
      <w:r>
        <w:t xml:space="preserve">.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1" w:name="fig-beta_div"/>
          <w:p>
            <w:pPr>
              <w:pStyle w:val="Compact"/>
              <w:jc w:val="center"/>
            </w:pPr>
            <w:r>
              <w:drawing>
                <wp:inline>
                  <wp:extent cx="5334000" cy="5334000"/>
                  <wp:effectExtent b="0" l="0" r="0" t="0"/>
                  <wp:docPr descr="" title="" id="39" name="Picture"/>
                  <a:graphic>
                    <a:graphicData uri="http://schemas.openxmlformats.org/drawingml/2006/picture">
                      <pic:pic>
                        <pic:nvPicPr>
                          <pic:cNvPr descr="figures/beta_div.png"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1"/>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paramterisiation of links by ecological theory) is very different from the PFIM model that makes assumptions on a trait-based, mechanistic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 and on a conceptual basis it means that we cannot use something like the ADBM to ask questions about diet breadth (note here this makes the assumption that something like the PFIM is truly aligning with diet breadth, which I am inclined to say it is).</w:t>
      </w:r>
    </w:p>
    <w:bookmarkEnd w:id="42"/>
    <w:bookmarkStart w:id="50" w:name="model-choice-changes-the-narrative"/>
    <w:p>
      <w:pPr>
        <w:pStyle w:val="Heading2"/>
      </w:pPr>
      <w:r>
        <w:t xml:space="preserve">3.4 Model choice changes the narrative</w:t>
      </w:r>
    </w:p>
    <w:bookmarkStart w:id="47" w:name="simulating-extinctions"/>
    <w:p>
      <w:pPr>
        <w:pStyle w:val="Heading4"/>
      </w:pPr>
      <w:r>
        <w:t xml:space="preserve">3.4.0.1 Simulating Extinctions</w:t>
      </w:r>
    </w:p>
    <w:p>
      <w:pPr>
        <w:pStyle w:val="FirstParagraph"/>
      </w:pPr>
      <w:r>
        <w:t xml:space="preserve">Extinctions were simulated using different plausible mechanisms based on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[30]</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 based on their position in the newly generated network.</w:t>
      </w:r>
    </w:p>
    <w:p>
      <w:pPr>
        <w:pStyle w:val="BodyText"/>
      </w:pPr>
      <w:r>
        <w:t xml:space="preserve">As we are using</w:t>
      </w:r>
      <w:r>
        <w:t xml:space="preserve"> </w:t>
      </w:r>
      <w:r>
        <w:t xml:space="preserve">[4]</w:t>
      </w:r>
      <w:r>
        <w:t xml:space="preserve"> </w:t>
      </w:r>
      <w:r>
        <w:t xml:space="preserve">as a case study we followed their approach when simulating extinctions as well as assessing which extinction mechanism results in a simulated network that most closely matches the real post extinction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w:t>
      </w:r>
      <w:r>
        <w:t xml:space="preserve"> </w:t>
      </w:r>
      <w:r>
        <w:rPr>
          <w:b/>
          <w:bCs/>
        </w:rPr>
        <w:t xml:space="preserve">TODO</w:t>
      </w:r>
      <w:r>
        <w:t xml:space="preserve"> </w:t>
      </w:r>
      <w:r>
        <w:t xml:space="preserve">The whole shebang about the different extinction simulation scenarios.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[31]</w:t>
      </w:r>
    </w:p>
    <w:tbl>
      <w:tblPr>
        <w:tblStyle w:val="Table"/>
        <w:tblW w:type="pct" w:w="5000"/>
        <w:tblLayout w:type="fixed"/>
        <w:tblLook w:firstRow="0" w:lastRow="0" w:firstColumn="0" w:lastColumn="0" w:noHBand="0" w:noVBand="0" w:val="0000"/>
      </w:tblPr>
      <w:tblGrid>
        <w:gridCol w:w="7920"/>
      </w:tblGrid>
      <w:tr>
        <w:tc>
          <w:tcPr/>
          <w:bookmarkStart w:id="46" w:name="fig-dunhill"/>
          <w:p>
            <w:pPr>
              <w:pStyle w:val="Compact"/>
              <w:jc w:val="center"/>
            </w:pPr>
            <w:r>
              <w:drawing>
                <wp:inline>
                  <wp:extent cx="5334000" cy="5715000"/>
                  <wp:effectExtent b="0" l="0" r="0" t="0"/>
                  <wp:docPr descr="" title="" id="44" name="Picture"/>
                  <a:graphic>
                    <a:graphicData uri="http://schemas.openxmlformats.org/drawingml/2006/picture">
                      <pic:pic>
                        <pic:nvPicPr>
                          <pic:cNvPr descr="figures/dunhill_comp.png" id="45" name="Picture"/>
                          <pic:cNvPicPr>
                            <a:picLocks noChangeArrowheads="1" noChangeAspect="1"/>
                          </pic:cNvPicPr>
                        </pic:nvPicPr>
                        <pic:blipFill>
                          <a:blip r:embed="rId43"/>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I think it makes sense to split and divide into the below sections (depending on potential figure limitations of target journal)</w:t>
            </w:r>
          </w:p>
          <w:bookmarkEnd w:id="46"/>
        </w:tc>
      </w:tr>
    </w:tbl>
    <w:bookmarkEnd w:id="47"/>
    <w:bookmarkStart w:id="48" w:name="trends-over-time"/>
    <w:p>
      <w:pPr>
        <w:pStyle w:val="Heading3"/>
      </w:pPr>
      <w:r>
        <w:t xml:space="preserve">3.4.1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48"/>
    <w:bookmarkStart w:id="49" w:name="inferred-extinction-drivers"/>
    <w:p>
      <w:pPr>
        <w:pStyle w:val="Heading3"/>
      </w:pPr>
      <w:r>
        <w:t xml:space="preserve">3.4.2 Inferred extinction drivers</w:t>
      </w:r>
    </w:p>
    <w:p>
      <w:pPr>
        <w:pStyle w:val="FirstParagraph"/>
      </w:pPr>
      <w:r>
        <w:t xml:space="preserve">In order to determine which extinction mechanism creates a network most similar to the post extinction network we use a derivative of the true skill statistic from</w:t>
      </w:r>
      <w:r>
        <w:t xml:space="preserve"> </w:t>
      </w:r>
      <w:r>
        <w:t xml:space="preserve">[32]</w:t>
      </w:r>
      <w:r>
        <w:t xml:space="preserve">. Here we calculated both a node-level TSS as well as link-level TSS, by parsing out the TSS into two ocmponents we are able to assess if differences between real and simulated networks are due to node-level (the wrong species being removed) or link-level (the wrong links be recovered) differences.</w:t>
      </w:r>
    </w:p>
    <w:p>
      <w:pPr>
        <w:pStyle w:val="BodyText"/>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p>
    <w:bookmarkEnd w:id="49"/>
    <w:bookmarkEnd w:id="50"/>
    <w:bookmarkEnd w:id="51"/>
    <w:bookmarkStart w:id="56"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 Something like</w:t>
      </w:r>
      <w:r>
        <w:t xml:space="preserve"> </w:t>
      </w:r>
      <w:hyperlink w:anchor="fig-guidelines">
        <w:r>
          <w:rPr>
            <w:rStyle w:val="Hyperlink"/>
          </w:rPr>
          <w:t xml:space="preserve">Figure 5</w:t>
        </w:r>
      </w:hyperlink>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tbl>
      <w:tblPr>
        <w:tblStyle w:val="Table"/>
        <w:tblW w:type="pct" w:w="5000"/>
        <w:tblLayout w:type="fixed"/>
        <w:tblLook w:firstRow="0" w:lastRow="0" w:firstColumn="0" w:lastColumn="0" w:noHBand="0" w:noVBand="0" w:val="0000"/>
      </w:tblPr>
      <w:tblGrid>
        <w:gridCol w:w="7920"/>
      </w:tblGrid>
      <w:tr>
        <w:tc>
          <w:tcPr/>
          <w:bookmarkStart w:id="55" w:name="fig-guidelines"/>
          <w:p>
            <w:pPr>
              <w:pStyle w:val="Compact"/>
              <w:jc w:val="center"/>
            </w:pPr>
            <w:r>
              <w:drawing>
                <wp:inline>
                  <wp:extent cx="5334000" cy="7112000"/>
                  <wp:effectExtent b="0" l="0" r="0" t="0"/>
                  <wp:docPr descr="" title="" id="53" name="Picture"/>
                  <a:graphic>
                    <a:graphicData uri="http://schemas.openxmlformats.org/drawingml/2006/picture">
                      <pic:pic>
                        <pic:nvPicPr>
                          <pic:cNvPr descr="figures/guidelines.png" id="54" name="Picture"/>
                          <pic:cNvPicPr>
                            <a:picLocks noChangeArrowheads="1" noChangeAspect="1"/>
                          </pic:cNvPicPr>
                        </pic:nvPicPr>
                        <pic:blipFill>
                          <a:blip r:embed="rId52"/>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TODO.</w:t>
            </w:r>
          </w:p>
          <w:bookmarkEnd w:id="55"/>
        </w:tc>
      </w:tr>
    </w:tbl>
    <w:bookmarkEnd w:id="56"/>
    <w:bookmarkStart w:id="121" w:name="references"/>
    <w:p>
      <w:pPr>
        <w:pStyle w:val="Heading1"/>
      </w:pPr>
      <w:r>
        <w:t xml:space="preserve">References</w:t>
      </w:r>
    </w:p>
    <w:bookmarkStart w:id="120" w:name="refs"/>
    <w:bookmarkStart w:id="58"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7">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8"/>
    <w:bookmarkStart w:id="60"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59">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0"/>
    <w:bookmarkStart w:id="62"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6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62"/>
    <w:bookmarkStart w:id="64"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3">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4"/>
    <w:bookmarkStart w:id="66"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5">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6"/>
    <w:bookmarkStart w:id="68"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8"/>
    <w:bookmarkStart w:id="70" w:name="ref-jordano2016"/>
    <w:p>
      <w:pPr>
        <w:pStyle w:val="Bibliography"/>
      </w:pPr>
      <w:r>
        <w:t xml:space="preserve">7.</w:t>
      </w:r>
      <w:r>
        <w:t xml:space="preserve"> </w:t>
      </w:r>
      <w:r>
        <w:t xml:space="preserve">	</w:t>
      </w:r>
      <w:r>
        <w:t xml:space="preserve">Jordano, P. (2016)</w:t>
      </w:r>
      <w:r>
        <w:t xml:space="preserve"> </w:t>
      </w:r>
      <w:hyperlink r:id="rId69">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0"/>
    <w:bookmarkStart w:id="72"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2"/>
    <w:bookmarkStart w:id="74" w:name="ref-pichler2023"/>
    <w:p>
      <w:pPr>
        <w:pStyle w:val="Bibliography"/>
      </w:pPr>
      <w:r>
        <w:t xml:space="preserve">9.</w:t>
      </w:r>
      <w:r>
        <w:t xml:space="preserve"> </w:t>
      </w:r>
      <w:r>
        <w:t xml:space="preserve">	</w:t>
      </w:r>
      <w:r>
        <w:t xml:space="preserve">Pichler, M. and Hartig, F. (2023)</w:t>
      </w:r>
      <w:r>
        <w:t xml:space="preserve"> </w:t>
      </w:r>
      <w:hyperlink r:id="rId73">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4"/>
    <w:bookmarkStart w:id="76"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6"/>
    <w:bookmarkStart w:id="78"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7">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8"/>
    <w:bookmarkStart w:id="80"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9">
        <w:r>
          <w:rPr>
            <w:rStyle w:val="Hyperlink"/>
          </w:rPr>
          <w:t xml:space="preserve">A framework for reconstructing ancient food webs using functional trait data</w:t>
        </w:r>
      </w:hyperlink>
      <w:r>
        <w:t xml:space="preserve">bioRxiv, 2024.01.30.578036</w:t>
      </w:r>
    </w:p>
    <w:bookmarkEnd w:id="80"/>
    <w:bookmarkStart w:id="82" w:name="ref-roopnarine2006"/>
    <w:p>
      <w:pPr>
        <w:pStyle w:val="Bibliography"/>
      </w:pPr>
      <w:r>
        <w:t xml:space="preserve">13.</w:t>
      </w:r>
      <w:r>
        <w:t xml:space="preserve"> </w:t>
      </w:r>
      <w:r>
        <w:t xml:space="preserve">	</w:t>
      </w:r>
      <w:r>
        <w:t xml:space="preserve">Roopnarine, P.D. (2006)</w:t>
      </w:r>
      <w:r>
        <w:t xml:space="preserve"> </w:t>
      </w:r>
      <w:hyperlink r:id="rId81">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2"/>
    <w:bookmarkStart w:id="84"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4"/>
    <w:bookmarkStart w:id="86"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85">
        <w:r>
          <w:rPr>
            <w:rStyle w:val="Hyperlink"/>
          </w:rPr>
          <w:t xml:space="preserve">10.1038/s44358-025-00056-7</w:t>
        </w:r>
      </w:hyperlink>
    </w:p>
    <w:bookmarkEnd w:id="86"/>
    <w:bookmarkStart w:id="88"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7">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8"/>
    <w:bookmarkStart w:id="90" w:name="ref-erdos1959"/>
    <w:p>
      <w:pPr>
        <w:pStyle w:val="Bibliography"/>
      </w:pPr>
      <w:r>
        <w:t xml:space="preserve">17.</w:t>
      </w:r>
      <w:r>
        <w:t xml:space="preserve"> </w:t>
      </w:r>
      <w:r>
        <w:t xml:space="preserve">	</w:t>
      </w:r>
      <w:r>
        <w:t xml:space="preserve">Erdős, P. and Rényi, A. (1959)</w:t>
      </w:r>
      <w:r>
        <w:t xml:space="preserve"> </w:t>
      </w:r>
      <w:hyperlink r:id="rId89">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0"/>
    <w:bookmarkStart w:id="92" w:name="ref-williams2008"/>
    <w:p>
      <w:pPr>
        <w:pStyle w:val="Bibliography"/>
      </w:pPr>
      <w:r>
        <w:t xml:space="preserve">18.</w:t>
      </w:r>
      <w:r>
        <w:t xml:space="preserve"> </w:t>
      </w:r>
      <w:r>
        <w:t xml:space="preserve">	</w:t>
      </w:r>
      <w:r>
        <w:t xml:space="preserve">Williams, R.J. and Martinez, N.D. (2008)</w:t>
      </w:r>
      <w:r>
        <w:t xml:space="preserve"> </w:t>
      </w:r>
      <w:hyperlink r:id="rId91">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2"/>
    <w:bookmarkStart w:id="94" w:name="ref-petchey2008"/>
    <w:p>
      <w:pPr>
        <w:pStyle w:val="Bibliography"/>
      </w:pPr>
      <w:r>
        <w:t xml:space="preserve">19.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3">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4"/>
    <w:bookmarkStart w:id="96" w:name="ref-schneider2016"/>
    <w:p>
      <w:pPr>
        <w:pStyle w:val="Bibliography"/>
      </w:pPr>
      <w:r>
        <w:t xml:space="preserve">20.</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95">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96"/>
    <w:bookmarkStart w:id="98" w:name="ref-rohr2010"/>
    <w:p>
      <w:pPr>
        <w:pStyle w:val="Bibliography"/>
      </w:pPr>
      <w:r>
        <w:t xml:space="preserve">21.</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97">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98"/>
    <w:bookmarkStart w:id="100" w:name="ref-bambach2007"/>
    <w:p>
      <w:pPr>
        <w:pStyle w:val="Bibliography"/>
      </w:pPr>
      <w:r>
        <w:t xml:space="preserve">22.</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99">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0"/>
    <w:bookmarkStart w:id="102" w:name="ref-milo2002"/>
    <w:p>
      <w:pPr>
        <w:pStyle w:val="Bibliography"/>
      </w:pPr>
      <w:r>
        <w:t xml:space="preserve">23.</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01">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02"/>
    <w:bookmarkStart w:id="104" w:name="ref-stouffer2007"/>
    <w:p>
      <w:pPr>
        <w:pStyle w:val="Bibliography"/>
      </w:pPr>
      <w:r>
        <w:t xml:space="preserve">24.</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3">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4"/>
    <w:bookmarkStart w:id="106" w:name="ref-williams2004"/>
    <w:p>
      <w:pPr>
        <w:pStyle w:val="Bibliography"/>
      </w:pPr>
      <w:r>
        <w:t xml:space="preserve">25.</w:t>
      </w:r>
      <w:r>
        <w:t xml:space="preserve"> </w:t>
      </w:r>
      <w:r>
        <w:t xml:space="preserve">	</w:t>
      </w:r>
      <w:r>
        <w:t xml:space="preserve">Williams, R.J. and Martinez, N.D. (2004)</w:t>
      </w:r>
      <w:r>
        <w:t xml:space="preserve"> </w:t>
      </w:r>
      <w:hyperlink r:id="rId105">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06"/>
    <w:bookmarkStart w:id="108" w:name="ref-delmas2018"/>
    <w:p>
      <w:pPr>
        <w:pStyle w:val="Bibliography"/>
      </w:pPr>
      <w:r>
        <w:t xml:space="preserve">26.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7">
        <w:r>
          <w:rPr>
            <w:rStyle w:val="Hyperlink"/>
          </w:rPr>
          <w:t xml:space="preserve">10.1111/brv.12433</w:t>
        </w:r>
      </w:hyperlink>
    </w:p>
    <w:bookmarkEnd w:id="108"/>
    <w:bookmarkStart w:id="110" w:name="ref-williams2000"/>
    <w:p>
      <w:pPr>
        <w:pStyle w:val="Bibliography"/>
      </w:pPr>
      <w:r>
        <w:t xml:space="preserve">27.</w:t>
      </w:r>
      <w:r>
        <w:t xml:space="preserve"> </w:t>
      </w:r>
      <w:r>
        <w:t xml:space="preserve">	</w:t>
      </w:r>
      <w:r>
        <w:t xml:space="preserve">Williams, R.J. and Martinez, N.D. (2000)</w:t>
      </w:r>
      <w:r>
        <w:t xml:space="preserve"> </w:t>
      </w:r>
      <w:hyperlink r:id="rId109">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0"/>
    <w:bookmarkStart w:id="111" w:name="ref-roopnarine2017"/>
    <w:p>
      <w:pPr>
        <w:pStyle w:val="Bibliography"/>
      </w:pPr>
      <w:r>
        <w:t xml:space="preserve">28.</w:t>
      </w:r>
      <w:r>
        <w:t xml:space="preserve"> </w:t>
      </w:r>
      <w:r>
        <w:t xml:space="preserve">	</w:t>
      </w:r>
      <w:r>
        <w:t xml:space="preserve">Roopnarine, P.D. (2017) Ecological Modelling of Paleocommunity Food Webspp. 201–226, University of Chicago Press</w:t>
      </w:r>
    </w:p>
    <w:bookmarkEnd w:id="111"/>
    <w:bookmarkStart w:id="113" w:name="ref-poisot2012"/>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12">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13"/>
    <w:bookmarkStart w:id="115" w:name="ref-curtsdotter2011"/>
    <w:p>
      <w:pPr>
        <w:pStyle w:val="Bibliography"/>
      </w:pPr>
      <w:r>
        <w:t xml:space="preserve">30.</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14">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15"/>
    <w:bookmarkStart w:id="117" w:name="ref-jonsson2015"/>
    <w:p>
      <w:pPr>
        <w:pStyle w:val="Bibliography"/>
      </w:pPr>
      <w:r>
        <w:t xml:space="preserve">31.</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16">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17"/>
    <w:bookmarkStart w:id="119" w:name="ref-gupta2022"/>
    <w:p>
      <w:pPr>
        <w:pStyle w:val="Bibliography"/>
      </w:pPr>
      <w:r>
        <w:t xml:space="preserve">32.</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18">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19"/>
    <w:bookmarkEnd w:id="120"/>
    <w:bookmarkEnd w:id="12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1" Target="media/rId21.png" /><Relationship Type="http://schemas.openxmlformats.org/officeDocument/2006/relationships/hyperlink" Id="rId118" Target="https://doi.org/10.1002/ece3.8643" TargetMode="External" /><Relationship Type="http://schemas.openxmlformats.org/officeDocument/2006/relationships/hyperlink" Id="rId114"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09" Target="https://doi.org/10.1038/35004572" TargetMode="External" /><Relationship Type="http://schemas.openxmlformats.org/officeDocument/2006/relationships/hyperlink" Id="rId95"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3"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7" Target="https://doi.org/10.1086/653667" TargetMode="External" /><Relationship Type="http://schemas.openxmlformats.org/officeDocument/2006/relationships/hyperlink" Id="rId103"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73" Target="https://doi.org/10.1111/2041-210X.14061" TargetMode="External" /><Relationship Type="http://schemas.openxmlformats.org/officeDocument/2006/relationships/hyperlink" Id="rId107"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1" Target="https://doi.org/10.1111/j.1365-2656.2008.01362.x" TargetMode="External" /><Relationship Type="http://schemas.openxmlformats.org/officeDocument/2006/relationships/hyperlink" Id="rId99" Target="https://doi.org/10.1111/j.1475-4983.2006.00611.x" TargetMode="External" /><Relationship Type="http://schemas.openxmlformats.org/officeDocument/2006/relationships/hyperlink" Id="rId112"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6"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1"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5"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89" Target="https://doi.org/10.5486/pmd.1959.6.3-4.12" TargetMode="External" /><Relationship Type="http://schemas.openxmlformats.org/officeDocument/2006/relationships/hyperlink" Id="rId81"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8" Target="https://doi.org/10.1002/ece3.8643" TargetMode="External" /><Relationship Type="http://schemas.openxmlformats.org/officeDocument/2006/relationships/hyperlink" Id="rId114"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09" Target="https://doi.org/10.1038/35004572" TargetMode="External" /><Relationship Type="http://schemas.openxmlformats.org/officeDocument/2006/relationships/hyperlink" Id="rId95"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3"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7" Target="https://doi.org/10.1086/653667" TargetMode="External" /><Relationship Type="http://schemas.openxmlformats.org/officeDocument/2006/relationships/hyperlink" Id="rId103"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73" Target="https://doi.org/10.1111/2041-210X.14061" TargetMode="External" /><Relationship Type="http://schemas.openxmlformats.org/officeDocument/2006/relationships/hyperlink" Id="rId107"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1" Target="https://doi.org/10.1111/j.1365-2656.2008.01362.x" TargetMode="External" /><Relationship Type="http://schemas.openxmlformats.org/officeDocument/2006/relationships/hyperlink" Id="rId99" Target="https://doi.org/10.1111/j.1475-4983.2006.00611.x" TargetMode="External" /><Relationship Type="http://schemas.openxmlformats.org/officeDocument/2006/relationships/hyperlink" Id="rId112"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6"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1"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5"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89" Target="https://doi.org/10.5486/pmd.1959.6.3-4.12" TargetMode="External" /><Relationship Type="http://schemas.openxmlformats.org/officeDocument/2006/relationships/hyperlink" Id="rId81"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2025-11-13T16:41:25Z</dcterms:created>
  <dcterms:modified xsi:type="dcterms:W3CDTF">2025-11-13T16:41:25Z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2025-11-13</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